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5"/>
        <w:gridCol w:w="5371"/>
      </w:tblGrid>
      <w:tr w:rsidR="00B2271D" w:rsidTr="00B2271D">
        <w:tc>
          <w:tcPr>
            <w:tcW w:w="3850" w:type="dxa"/>
            <w:hideMark/>
          </w:tcPr>
          <w:p w:rsidR="00B2271D" w:rsidRDefault="00B2271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76" w:dyaOrig="8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4pt;height:44.5pt" o:ole="">
                  <v:imagedata r:id="rId4" o:title=""/>
                </v:shape>
                <o:OLEObject Type="Embed" ProgID="Word.Picture.8" ShapeID="_x0000_i1025" DrawAspect="Content" ObjectID="_1612277740" r:id="rId5"/>
              </w:object>
            </w:r>
          </w:p>
        </w:tc>
        <w:tc>
          <w:tcPr>
            <w:tcW w:w="5644" w:type="dxa"/>
          </w:tcPr>
          <w:p w:rsidR="00B2271D" w:rsidRDefault="00B227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2271D" w:rsidRDefault="00B2271D" w:rsidP="00B2271D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</w:rPr>
              <w:t>European Route of Industrial Heritage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</w:rPr>
              <w:t>Europäische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Route der </w:t>
            </w:r>
            <w:proofErr w:type="spellStart"/>
            <w:r>
              <w:rPr>
                <w:rFonts w:ascii="Arial" w:hAnsi="Arial" w:cs="Arial"/>
                <w:b/>
                <w:bCs/>
              </w:rPr>
              <w:t>Industriekultur</w:t>
            </w:r>
            <w:proofErr w:type="spellEnd"/>
          </w:p>
        </w:tc>
      </w:tr>
    </w:tbl>
    <w:p w:rsidR="00B2271D" w:rsidRDefault="00B2271D"/>
    <w:p w:rsidR="00F6403E" w:rsidRPr="009964EA" w:rsidRDefault="003C1132">
      <w:pPr>
        <w:rPr>
          <w:sz w:val="18"/>
          <w:szCs w:val="18"/>
        </w:rPr>
      </w:pPr>
      <w:r w:rsidRPr="009964EA">
        <w:rPr>
          <w:sz w:val="18"/>
          <w:szCs w:val="18"/>
        </w:rPr>
        <w:t xml:space="preserve">This declaration was signed </w:t>
      </w:r>
      <w:r w:rsidR="00F6403E" w:rsidRPr="009964EA">
        <w:rPr>
          <w:sz w:val="18"/>
          <w:szCs w:val="18"/>
        </w:rPr>
        <w:t xml:space="preserve">at the Final Presentation of results of partnership working </w:t>
      </w:r>
      <w:r w:rsidR="00B2271D" w:rsidRPr="009964EA">
        <w:rPr>
          <w:sz w:val="18"/>
          <w:szCs w:val="18"/>
        </w:rPr>
        <w:br/>
      </w:r>
      <w:r w:rsidR="00F6403E" w:rsidRPr="009964EA">
        <w:rPr>
          <w:sz w:val="18"/>
          <w:szCs w:val="18"/>
        </w:rPr>
        <w:t>at conference from 30</w:t>
      </w:r>
      <w:r w:rsidR="00F6403E" w:rsidRPr="009964EA">
        <w:rPr>
          <w:sz w:val="18"/>
          <w:szCs w:val="18"/>
          <w:vertAlign w:val="superscript"/>
        </w:rPr>
        <w:t>th</w:t>
      </w:r>
      <w:r w:rsidR="00F6403E" w:rsidRPr="009964EA">
        <w:rPr>
          <w:sz w:val="18"/>
          <w:szCs w:val="18"/>
        </w:rPr>
        <w:t xml:space="preserve"> November to the 4</w:t>
      </w:r>
      <w:r w:rsidR="00F6403E" w:rsidRPr="009964EA">
        <w:rPr>
          <w:sz w:val="18"/>
          <w:szCs w:val="18"/>
          <w:vertAlign w:val="superscript"/>
        </w:rPr>
        <w:t>th</w:t>
      </w:r>
      <w:r w:rsidR="00F6403E" w:rsidRPr="009964EA">
        <w:rPr>
          <w:sz w:val="18"/>
          <w:szCs w:val="18"/>
        </w:rPr>
        <w:t xml:space="preserve"> of December </w:t>
      </w:r>
      <w:r w:rsidR="00B2271D" w:rsidRPr="009964EA">
        <w:rPr>
          <w:sz w:val="18"/>
          <w:szCs w:val="18"/>
        </w:rPr>
        <w:t>2001</w:t>
      </w:r>
      <w:r w:rsidR="00F6403E" w:rsidRPr="009964EA">
        <w:rPr>
          <w:sz w:val="18"/>
          <w:szCs w:val="18"/>
        </w:rPr>
        <w:t xml:space="preserve"> at presentation of ERIH Master Plan.</w:t>
      </w:r>
    </w:p>
    <w:p w:rsidR="00432146" w:rsidRPr="009964EA" w:rsidRDefault="00432146">
      <w:pPr>
        <w:rPr>
          <w:sz w:val="18"/>
          <w:szCs w:val="18"/>
        </w:rPr>
      </w:pPr>
      <w:r w:rsidRPr="009964EA">
        <w:rPr>
          <w:sz w:val="18"/>
          <w:szCs w:val="18"/>
        </w:rPr>
        <w:t>Page 89 of the Master Plan</w:t>
      </w:r>
    </w:p>
    <w:p w:rsidR="00F6403E" w:rsidRDefault="00F6403E"/>
    <w:p w:rsidR="00F6403E" w:rsidRDefault="00F6403E" w:rsidP="00B2271D">
      <w:pPr>
        <w:jc w:val="center"/>
        <w:rPr>
          <w:b/>
        </w:rPr>
      </w:pPr>
      <w:r w:rsidRPr="00F6403E">
        <w:rPr>
          <w:b/>
        </w:rPr>
        <w:t>The Declaration of Duisburg</w:t>
      </w:r>
    </w:p>
    <w:p w:rsidR="001D6CA1" w:rsidRDefault="00F6403E" w:rsidP="00B2271D">
      <w:pPr>
        <w:jc w:val="center"/>
        <w:rPr>
          <w:i/>
        </w:rPr>
      </w:pPr>
      <w:r w:rsidRPr="00F6403E">
        <w:rPr>
          <w:i/>
        </w:rPr>
        <w:t>In this era</w:t>
      </w:r>
      <w:r>
        <w:rPr>
          <w:i/>
        </w:rPr>
        <w:t xml:space="preserve"> of great changes to our European nations and cities,</w:t>
      </w:r>
      <w:r w:rsidR="000C3FB7">
        <w:rPr>
          <w:i/>
        </w:rPr>
        <w:t xml:space="preserve"> </w:t>
      </w:r>
      <w:r>
        <w:rPr>
          <w:i/>
        </w:rPr>
        <w:t>Industrial heritage is an important witness to our common history and identity.</w:t>
      </w:r>
    </w:p>
    <w:p w:rsidR="00F6403E" w:rsidRDefault="00F6403E" w:rsidP="00B2271D">
      <w:pPr>
        <w:jc w:val="center"/>
        <w:rPr>
          <w:i/>
        </w:rPr>
      </w:pPr>
      <w:r>
        <w:rPr>
          <w:i/>
        </w:rPr>
        <w:t>The common history of European industry has played and will continu</w:t>
      </w:r>
      <w:r w:rsidR="000C3FB7">
        <w:rPr>
          <w:i/>
        </w:rPr>
        <w:t xml:space="preserve">e </w:t>
      </w:r>
      <w:r w:rsidR="001D6CA1">
        <w:rPr>
          <w:i/>
        </w:rPr>
        <w:t>to</w:t>
      </w:r>
      <w:r>
        <w:rPr>
          <w:i/>
        </w:rPr>
        <w:t xml:space="preserve"> play an important part in the culture and identity of our European nations and it offers possibilities to create both shared and individual identities</w:t>
      </w:r>
      <w:r w:rsidR="001D6CA1">
        <w:rPr>
          <w:i/>
        </w:rPr>
        <w:t>.</w:t>
      </w:r>
    </w:p>
    <w:p w:rsidR="001D6CA1" w:rsidRDefault="001D6CA1" w:rsidP="00B2271D">
      <w:pPr>
        <w:jc w:val="center"/>
        <w:rPr>
          <w:i/>
        </w:rPr>
      </w:pPr>
      <w:r>
        <w:rPr>
          <w:i/>
        </w:rPr>
        <w:t>The accessibility of our cultural heritage is a key element in</w:t>
      </w:r>
      <w:r w:rsidR="000C3FB7">
        <w:rPr>
          <w:i/>
        </w:rPr>
        <w:t xml:space="preserve"> e</w:t>
      </w:r>
      <w:r>
        <w:rPr>
          <w:i/>
        </w:rPr>
        <w:t>xperiencing this identity and it helps us to understand better our common roots.</w:t>
      </w:r>
    </w:p>
    <w:p w:rsidR="001D6CA1" w:rsidRDefault="001D6CA1" w:rsidP="00B2271D">
      <w:pPr>
        <w:jc w:val="center"/>
        <w:rPr>
          <w:i/>
        </w:rPr>
      </w:pPr>
      <w:r>
        <w:rPr>
          <w:i/>
        </w:rPr>
        <w:t>The sustainable development of our indust</w:t>
      </w:r>
      <w:r w:rsidR="000C3FB7">
        <w:rPr>
          <w:i/>
        </w:rPr>
        <w:t>rial heritage helps t</w:t>
      </w:r>
      <w:r>
        <w:rPr>
          <w:i/>
        </w:rPr>
        <w:t>o</w:t>
      </w:r>
      <w:r w:rsidR="000C3FB7">
        <w:rPr>
          <w:i/>
        </w:rPr>
        <w:t xml:space="preserve"> </w:t>
      </w:r>
      <w:r>
        <w:rPr>
          <w:i/>
        </w:rPr>
        <w:t>secure the economic and social regeneration of municipalities.</w:t>
      </w:r>
    </w:p>
    <w:p w:rsidR="001D6CA1" w:rsidRDefault="001D6CA1" w:rsidP="00B2271D">
      <w:pPr>
        <w:jc w:val="center"/>
        <w:rPr>
          <w:i/>
        </w:rPr>
      </w:pPr>
      <w:r>
        <w:rPr>
          <w:i/>
        </w:rPr>
        <w:t>Historical continuity creates a sense of belonging and respect for the historical environment.</w:t>
      </w:r>
    </w:p>
    <w:p w:rsidR="001D6CA1" w:rsidRDefault="001D6CA1" w:rsidP="00B2271D">
      <w:pPr>
        <w:jc w:val="center"/>
        <w:rPr>
          <w:i/>
        </w:rPr>
      </w:pPr>
      <w:r>
        <w:rPr>
          <w:i/>
        </w:rPr>
        <w:t xml:space="preserve">“The European Route of Industrial Heritage” is a project that underlines the importance of our shared industrial past. It will create accessibility to Europe’s industrial heritage for the inhabitants of our nations </w:t>
      </w:r>
      <w:r w:rsidRPr="002A60F8">
        <w:rPr>
          <w:b/>
          <w:i/>
        </w:rPr>
        <w:t>an</w:t>
      </w:r>
      <w:bookmarkStart w:id="0" w:name="_GoBack"/>
      <w:bookmarkEnd w:id="0"/>
      <w:r w:rsidRPr="002A60F8">
        <w:rPr>
          <w:b/>
          <w:i/>
        </w:rPr>
        <w:t>d</w:t>
      </w:r>
      <w:r>
        <w:rPr>
          <w:i/>
        </w:rPr>
        <w:t xml:space="preserve"> will help identify the locations where sustainable redevelopment has to take place.</w:t>
      </w:r>
    </w:p>
    <w:p w:rsidR="001D6CA1" w:rsidRDefault="001D6CA1" w:rsidP="00B2271D">
      <w:pPr>
        <w:jc w:val="center"/>
        <w:rPr>
          <w:i/>
        </w:rPr>
      </w:pPr>
      <w:r>
        <w:rPr>
          <w:i/>
        </w:rPr>
        <w:t>In our professional involvement with industrial heritage</w:t>
      </w:r>
      <w:r w:rsidR="000C3FB7">
        <w:rPr>
          <w:i/>
        </w:rPr>
        <w:t>, we are aware of its major importance for the future of spatial planning, cultural heritage tourism and recreation and for the individual identities of nations.</w:t>
      </w:r>
    </w:p>
    <w:p w:rsidR="000C3FB7" w:rsidRDefault="000C3FB7" w:rsidP="00B2271D">
      <w:pPr>
        <w:jc w:val="center"/>
        <w:rPr>
          <w:i/>
        </w:rPr>
      </w:pPr>
      <w:r>
        <w:rPr>
          <w:i/>
        </w:rPr>
        <w:t>We embrace the ERIH concept with its network of Anchor Points, Transnational Theme Routes, and Regional Routes as a convincing programme for transnational cooperation and regional tourism development.</w:t>
      </w:r>
    </w:p>
    <w:p w:rsidR="000C3FB7" w:rsidRPr="007757F5" w:rsidRDefault="000C3FB7" w:rsidP="00B2271D">
      <w:pPr>
        <w:jc w:val="center"/>
        <w:rPr>
          <w:i/>
        </w:rPr>
      </w:pPr>
      <w:r w:rsidRPr="007757F5">
        <w:rPr>
          <w:i/>
        </w:rPr>
        <w:t>Therefore ERIH</w:t>
      </w:r>
      <w:r w:rsidR="006313F3" w:rsidRPr="007757F5">
        <w:rPr>
          <w:i/>
        </w:rPr>
        <w:t xml:space="preserve"> </w:t>
      </w:r>
      <w:r w:rsidRPr="007757F5">
        <w:rPr>
          <w:i/>
        </w:rPr>
        <w:t>- The European Route of Industrial Heritage – is our common concern.</w:t>
      </w:r>
    </w:p>
    <w:p w:rsidR="00B2271D" w:rsidRPr="007757F5" w:rsidRDefault="00B2271D" w:rsidP="00B2271D">
      <w:pPr>
        <w:jc w:val="center"/>
        <w:rPr>
          <w:i/>
        </w:rPr>
      </w:pPr>
    </w:p>
    <w:p w:rsidR="00B2271D" w:rsidRPr="000C3FB7" w:rsidRDefault="00B2271D" w:rsidP="00B2271D">
      <w:pPr>
        <w:jc w:val="center"/>
        <w:rPr>
          <w:b/>
          <w:i/>
        </w:rPr>
      </w:pPr>
    </w:p>
    <w:p w:rsidR="000C3FB7" w:rsidRPr="00F6403E" w:rsidRDefault="00B2271D" w:rsidP="00B2271D">
      <w:pPr>
        <w:jc w:val="center"/>
        <w:rPr>
          <w:i/>
        </w:rPr>
      </w:pPr>
      <w:r>
        <w:rPr>
          <w:i/>
        </w:rPr>
        <w:t>Duisburg, 1 December 2001</w:t>
      </w:r>
    </w:p>
    <w:sectPr w:rsidR="000C3FB7" w:rsidRPr="00F6403E" w:rsidSect="002F1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C0"/>
    <w:rsid w:val="0007250C"/>
    <w:rsid w:val="000C3FB7"/>
    <w:rsid w:val="00174435"/>
    <w:rsid w:val="001D6CA1"/>
    <w:rsid w:val="002A60F8"/>
    <w:rsid w:val="002F144B"/>
    <w:rsid w:val="003815C0"/>
    <w:rsid w:val="003C1132"/>
    <w:rsid w:val="00432146"/>
    <w:rsid w:val="006313F3"/>
    <w:rsid w:val="007757F5"/>
    <w:rsid w:val="009964EA"/>
    <w:rsid w:val="00B2271D"/>
    <w:rsid w:val="00DE2EE0"/>
    <w:rsid w:val="00E17FC2"/>
    <w:rsid w:val="00F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E6CC"/>
  <w15:docId w15:val="{E1C9B335-F99F-4336-9368-8BD4D992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1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Rainer Klenner</cp:lastModifiedBy>
  <cp:revision>9</cp:revision>
  <dcterms:created xsi:type="dcterms:W3CDTF">2019-02-21T13:04:00Z</dcterms:created>
  <dcterms:modified xsi:type="dcterms:W3CDTF">2019-02-21T17:09:00Z</dcterms:modified>
</cp:coreProperties>
</file>